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25" w:rsidRPr="00AD3944" w:rsidRDefault="007B0C25" w:rsidP="007B0C25">
      <w:pPr>
        <w:pStyle w:val="a3"/>
        <w:spacing w:before="32"/>
        <w:ind w:left="0" w:right="216"/>
        <w:jc w:val="right"/>
        <w:rPr>
          <w:rFonts w:ascii="宋体" w:eastAsia="宋体" w:hAnsi="宋体" w:cs="宋体"/>
          <w:kern w:val="2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AF-SS-0</w:t>
      </w:r>
      <w:r w:rsidRPr="00AD3944">
        <w:rPr>
          <w:rFonts w:ascii="Arial" w:eastAsiaTheme="minorEastAsia" w:hAnsi="Arial" w:cs="Arial"/>
          <w:lang w:eastAsia="zh-CN"/>
        </w:rPr>
        <w:t>5</w:t>
      </w:r>
      <w:r w:rsidRPr="00AD3944">
        <w:rPr>
          <w:rFonts w:ascii="Arial" w:eastAsia="Arial" w:hAnsi="Arial" w:cs="Arial"/>
          <w:lang w:eastAsia="zh-CN"/>
        </w:rPr>
        <w:t>-1.0</w:t>
      </w:r>
    </w:p>
    <w:p w:rsidR="007B0C25" w:rsidRPr="00AD3944" w:rsidRDefault="007B0C25" w:rsidP="007B0C25">
      <w:pPr>
        <w:keepNext/>
        <w:keepLines/>
        <w:spacing w:before="312" w:after="312" w:line="415" w:lineRule="auto"/>
        <w:jc w:val="center"/>
        <w:outlineLvl w:val="1"/>
        <w:rPr>
          <w:rFonts w:ascii="Cambria" w:eastAsia="微软雅黑" w:hAnsi="Cambria" w:cs="Times New Roman"/>
          <w:b/>
          <w:bCs/>
          <w:kern w:val="2"/>
          <w:sz w:val="30"/>
          <w:szCs w:val="30"/>
          <w:lang w:eastAsia="zh-CN"/>
        </w:rPr>
      </w:pPr>
      <w:bookmarkStart w:id="0" w:name="_Toc375937381"/>
      <w:r w:rsidRPr="00AD3944">
        <w:rPr>
          <w:rFonts w:ascii="Cambria" w:eastAsia="微软雅黑" w:hAnsi="Cambria" w:cs="Times New Roman" w:hint="eastAsia"/>
          <w:b/>
          <w:bCs/>
          <w:kern w:val="2"/>
          <w:sz w:val="30"/>
          <w:szCs w:val="30"/>
          <w:lang w:eastAsia="zh-CN"/>
        </w:rPr>
        <w:t>违背方案报告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7B0C25" w:rsidRPr="00AD3944" w:rsidTr="005A7138">
        <w:tc>
          <w:tcPr>
            <w:tcW w:w="2518" w:type="dxa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095" w:type="dxa"/>
            <w:gridSpan w:val="3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7B0C25" w:rsidRPr="00AD3944" w:rsidTr="005A7138">
        <w:tc>
          <w:tcPr>
            <w:tcW w:w="2518" w:type="dxa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6095" w:type="dxa"/>
            <w:gridSpan w:val="3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7B0C25" w:rsidRPr="00AD3944" w:rsidTr="005A7138">
        <w:tc>
          <w:tcPr>
            <w:tcW w:w="2518" w:type="dxa"/>
            <w:vAlign w:val="center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6095" w:type="dxa"/>
            <w:gridSpan w:val="3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7B0C25" w:rsidRPr="00AD3944" w:rsidTr="005A7138">
        <w:tc>
          <w:tcPr>
            <w:tcW w:w="2518" w:type="dxa"/>
            <w:vAlign w:val="center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6095" w:type="dxa"/>
            <w:gridSpan w:val="3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7B0C25" w:rsidRPr="00AD3944" w:rsidTr="005A7138">
        <w:tc>
          <w:tcPr>
            <w:tcW w:w="2518" w:type="dxa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伦理审查批件号</w:t>
            </w:r>
          </w:p>
        </w:tc>
        <w:tc>
          <w:tcPr>
            <w:tcW w:w="2268" w:type="dxa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2" w:type="dxa"/>
          </w:tcPr>
          <w:p w:rsidR="007B0C25" w:rsidRPr="00AD3944" w:rsidRDefault="007B0C25" w:rsidP="007B0C25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主要研究者</w:t>
            </w:r>
          </w:p>
        </w:tc>
        <w:tc>
          <w:tcPr>
            <w:tcW w:w="1695" w:type="dxa"/>
          </w:tcPr>
          <w:p w:rsidR="007B0C25" w:rsidRPr="00AD3944" w:rsidRDefault="007B0C25" w:rsidP="007B0C25">
            <w:pPr>
              <w:spacing w:line="4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7B0C25" w:rsidRPr="00AD3944" w:rsidRDefault="007B0C25" w:rsidP="007B0C25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7B0C25" w:rsidRPr="00AD3944" w:rsidRDefault="007B0C2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一、违背方案的情况</w:t>
      </w:r>
    </w:p>
    <w:tbl>
      <w:tblPr>
        <w:tblStyle w:val="TableNormal"/>
        <w:tblW w:w="8522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852"/>
        <w:gridCol w:w="7670"/>
      </w:tblGrid>
      <w:tr w:rsidR="00480115" w:rsidRPr="00AD3944" w:rsidTr="005A7138">
        <w:trPr>
          <w:trHeight w:hRule="exact" w:val="35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613287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5A7138">
                <w:pPr>
                  <w:pStyle w:val="TableParagraph"/>
                  <w:spacing w:before="57"/>
                  <w:jc w:val="center"/>
                  <w:rPr>
                    <w:rFonts w:ascii="Wingdings" w:eastAsia="Wingdings" w:hAnsi="Wingdings" w:cs="Wingdings"/>
                    <w:sz w:val="21"/>
                    <w:szCs w:val="21"/>
                  </w:rPr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5A7138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  <w:lang w:eastAsia="zh-CN"/>
              </w:rPr>
              <w:t>为消除对受试者的紧急危害，在伦理委员会同意前，研究者偏离方案</w:t>
            </w:r>
          </w:p>
        </w:tc>
      </w:tr>
    </w:tbl>
    <w:p w:rsidR="00480115" w:rsidRPr="00AD3944" w:rsidRDefault="0048011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tbl>
      <w:tblPr>
        <w:tblStyle w:val="TableNormal"/>
        <w:tblW w:w="8522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852"/>
        <w:gridCol w:w="7670"/>
      </w:tblGrid>
      <w:tr w:rsidR="00480115" w:rsidRPr="00AD3944" w:rsidTr="00480115">
        <w:trPr>
          <w:trHeight w:hRule="exact" w:val="35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618805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814886" w:rsidP="005A7138">
                <w:pPr>
                  <w:pStyle w:val="TableParagraph"/>
                  <w:spacing w:before="57"/>
                  <w:jc w:val="center"/>
                  <w:rPr>
                    <w:rFonts w:ascii="Wingdings" w:eastAsia="Wingdings" w:hAnsi="Wingdings" w:cs="Wingdings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研究纳入了不符合纳入标准或符合排除标准的受试者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459537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符合终止试验规定而未让受试者退出研究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635170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给予错误的治疗或剂量</w:t>
            </w:r>
          </w:p>
        </w:tc>
      </w:tr>
      <w:tr w:rsidR="00480115" w:rsidRPr="00AD3944" w:rsidTr="00480115">
        <w:trPr>
          <w:trHeight w:hRule="exact" w:val="35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1801143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给予方案禁止的合并用药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2057924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可能对受试者的权益和安全造成显著影响的情况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388074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可能对研究的科学性造成显著影响的情况</w:t>
            </w:r>
          </w:p>
        </w:tc>
      </w:tr>
      <w:tr w:rsidR="00480115" w:rsidRPr="00AD3944" w:rsidTr="00480115">
        <w:trPr>
          <w:trHeight w:hRule="exact" w:val="35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1994099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同一研究人员的同一偏离方案行为在被要求纠正后，再次发生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2115814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研究人员不配合监查</w:t>
            </w: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/</w:t>
            </w: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稽查</w:t>
            </w:r>
          </w:p>
        </w:tc>
      </w:tr>
      <w:tr w:rsidR="00480115" w:rsidRPr="00AD3944" w:rsidTr="00480115">
        <w:trPr>
          <w:trHeight w:hRule="exact" w:val="358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1071768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研究人员对偏离方案事件不予以纠正</w:t>
            </w:r>
          </w:p>
        </w:tc>
      </w:tr>
      <w:tr w:rsidR="00480115" w:rsidRPr="00AD3944" w:rsidTr="00480115">
        <w:trPr>
          <w:trHeight w:hRule="exact" w:val="35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390937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80115" w:rsidRPr="00AD3944" w:rsidRDefault="00480115" w:rsidP="00480115">
            <w:pPr>
              <w:ind w:firstLineChars="76" w:firstLine="16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  <w:t>其他：</w:t>
            </w:r>
          </w:p>
        </w:tc>
      </w:tr>
    </w:tbl>
    <w:p w:rsidR="007B0C25" w:rsidRPr="00AD3944" w:rsidRDefault="007B0C2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二、违背方案的影响</w:t>
      </w:r>
    </w:p>
    <w:tbl>
      <w:tblPr>
        <w:tblStyle w:val="a6"/>
        <w:tblW w:w="8506" w:type="dxa"/>
        <w:tblInd w:w="137" w:type="dxa"/>
        <w:tblLook w:val="04A0" w:firstRow="1" w:lastRow="0" w:firstColumn="1" w:lastColumn="0" w:noHBand="0" w:noVBand="1"/>
      </w:tblPr>
      <w:tblGrid>
        <w:gridCol w:w="851"/>
        <w:gridCol w:w="7655"/>
      </w:tblGrid>
      <w:tr w:rsidR="00480115" w:rsidRPr="00AD3944" w:rsidTr="00480115">
        <w:tc>
          <w:tcPr>
            <w:tcW w:w="851" w:type="dxa"/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1673868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55" w:type="dxa"/>
          </w:tcPr>
          <w:p w:rsidR="00480115" w:rsidRPr="00AD3944" w:rsidRDefault="00480115" w:rsidP="00480115">
            <w:pPr>
              <w:spacing w:line="360" w:lineRule="auto"/>
              <w:textAlignment w:val="center"/>
              <w:rPr>
                <w:rFonts w:ascii="Times New Roman" w:eastAsia="宋体" w:hAnsi="Times New Roman" w:cs="Times New Roman"/>
                <w:bCs/>
                <w:sz w:val="21"/>
                <w:szCs w:val="28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bCs/>
                <w:sz w:val="21"/>
                <w:szCs w:val="28"/>
                <w:lang w:eastAsia="zh-CN"/>
              </w:rPr>
              <w:t>影响受试者的安全</w:t>
            </w:r>
          </w:p>
        </w:tc>
      </w:tr>
      <w:tr w:rsidR="00480115" w:rsidRPr="00AD3944" w:rsidTr="00480115">
        <w:tc>
          <w:tcPr>
            <w:tcW w:w="851" w:type="dxa"/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2110083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55" w:type="dxa"/>
          </w:tcPr>
          <w:p w:rsidR="00480115" w:rsidRPr="00AD3944" w:rsidRDefault="00480115" w:rsidP="00480115">
            <w:pPr>
              <w:spacing w:line="360" w:lineRule="auto"/>
              <w:textAlignment w:val="center"/>
              <w:rPr>
                <w:rFonts w:ascii="Times New Roman" w:eastAsia="宋体" w:hAnsi="Times New Roman" w:cs="Times New Roman"/>
                <w:bCs/>
                <w:sz w:val="21"/>
                <w:szCs w:val="28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bCs/>
                <w:sz w:val="21"/>
                <w:szCs w:val="28"/>
                <w:lang w:eastAsia="zh-CN"/>
              </w:rPr>
              <w:t>影响受试者的权益</w:t>
            </w:r>
          </w:p>
        </w:tc>
      </w:tr>
      <w:tr w:rsidR="00480115" w:rsidRPr="00AD3944" w:rsidTr="00480115">
        <w:tc>
          <w:tcPr>
            <w:tcW w:w="851" w:type="dxa"/>
            <w:vAlign w:val="center"/>
          </w:tcPr>
          <w:sdt>
            <w:sdtPr>
              <w:rPr>
                <w:rFonts w:ascii="Wingdings" w:eastAsia="Wingdings" w:hAnsi="Wingdings" w:cs="Wingdings"/>
                <w:sz w:val="21"/>
                <w:szCs w:val="21"/>
              </w:rPr>
              <w:id w:val="-2114963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80115" w:rsidRPr="00AD3944" w:rsidRDefault="00480115" w:rsidP="00480115">
                <w:pPr>
                  <w:jc w:val="center"/>
                </w:pPr>
                <w:r w:rsidRPr="00AD3944">
                  <w:rPr>
                    <w:rFonts w:ascii="MS Gothic" w:eastAsia="MS Gothic" w:hAnsi="MS Gothic" w:cs="Wingdings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7655" w:type="dxa"/>
          </w:tcPr>
          <w:p w:rsidR="00480115" w:rsidRPr="00AD3944" w:rsidRDefault="00480115" w:rsidP="00480115">
            <w:pPr>
              <w:spacing w:line="360" w:lineRule="auto"/>
              <w:textAlignment w:val="center"/>
              <w:rPr>
                <w:rFonts w:ascii="Times New Roman" w:eastAsia="宋体" w:hAnsi="Times New Roman" w:cs="Times New Roman"/>
                <w:bCs/>
                <w:sz w:val="21"/>
                <w:szCs w:val="28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bCs/>
                <w:sz w:val="21"/>
                <w:szCs w:val="28"/>
                <w:lang w:eastAsia="zh-CN"/>
              </w:rPr>
              <w:t>对研究结果产生显著影响</w:t>
            </w:r>
          </w:p>
        </w:tc>
      </w:tr>
    </w:tbl>
    <w:p w:rsidR="00480115" w:rsidRPr="00AD3944" w:rsidRDefault="007B0C2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三、违背方案的</w:t>
      </w:r>
      <w:r w:rsidR="00480115"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事件</w:t>
      </w:r>
      <w:r w:rsidR="00480115"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描述：</w:t>
      </w:r>
    </w:p>
    <w:p w:rsidR="00480115" w:rsidRPr="00AD3944" w:rsidRDefault="0048011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7B0C25" w:rsidRPr="00AD3944" w:rsidRDefault="00480115" w:rsidP="007B0C25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四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、违背方案的</w:t>
      </w:r>
      <w:r w:rsidR="007B0C25"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处理措施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：</w:t>
      </w:r>
    </w:p>
    <w:p w:rsidR="007B0C25" w:rsidRPr="00AD3944" w:rsidRDefault="007B0C25" w:rsidP="007B0C25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7B0C25" w:rsidRPr="00AD3944" w:rsidRDefault="007B0C25" w:rsidP="007B0C25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7B0C25" w:rsidRPr="00AD3944" w:rsidRDefault="007B0C25" w:rsidP="007B0C25">
      <w:pPr>
        <w:spacing w:line="400" w:lineRule="atLeast"/>
        <w:ind w:left="426" w:firstLineChars="1890" w:firstLine="453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>主要研究者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签字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</w:t>
      </w:r>
    </w:p>
    <w:p w:rsidR="003E305C" w:rsidRDefault="007B0C25" w:rsidP="00814886">
      <w:pPr>
        <w:spacing w:line="400" w:lineRule="atLeast"/>
        <w:ind w:left="426" w:firstLineChars="2340" w:firstLine="561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日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 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期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 </w:t>
      </w:r>
    </w:p>
    <w:sectPr w:rsidR="003E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72598B"/>
    <w:rsid w:val="007A44B2"/>
    <w:rsid w:val="007B0C25"/>
    <w:rsid w:val="008004C7"/>
    <w:rsid w:val="00814886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33</cp:revision>
  <dcterms:created xsi:type="dcterms:W3CDTF">2025-06-17T06:52:00Z</dcterms:created>
  <dcterms:modified xsi:type="dcterms:W3CDTF">2025-11-05T05:06:00Z</dcterms:modified>
</cp:coreProperties>
</file>